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F88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2024年全市经济持续向好</w:t>
      </w:r>
    </w:p>
    <w:p w14:paraId="3BF0B4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p>
    <w:p w14:paraId="07EC06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2024年,面对错综复杂的国内外形势和艰巨繁重的改革发展稳定任务,全市上下坚持以习近平新时代中国特色社会主义思想为指导,深入贯彻党的二十大和二十届二中、三中全会以及习近平总书记考察江西重要讲话精神,认真落实省委、省政府和市委、市政府各项决策部署,坚持稳中求进工作总基调,完整、准确、全面贯彻新发展理念,加快落实存量政策和一揽子增量政策,全市经济持续向好,高质量发展扎实推进。</w:t>
      </w:r>
    </w:p>
    <w:p w14:paraId="00FDC3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根据地区生产总值统一核算结果,2024年全市地区生产总值1179.30亿元,按不变价格计算,同比增长4.1%。其中,第一产业增加值78.75亿元,增长1.1%;第二产业增加值484.68亿元,增长5.2%;第三产业增加值615.87亿元,增长3.6%。</w:t>
      </w:r>
    </w:p>
    <w:p w14:paraId="41F622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rPr>
          <w:rStyle w:val="6"/>
        </w:rPr>
        <w:t>一、粮食产量保持稳定,“菜篮子”产品供应充足</w:t>
      </w:r>
    </w:p>
    <w:p w14:paraId="52541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全年全市农林牧渔业总产值136.41亿元,增长1.5%。粮食播种面积143.70万亩,总产量11.3亿斤,比上年增加0.06亿斤,增长0.6%。全年猪牛羊禽肉产量5.73万吨,下降6.0%,其中,猪肉产量4.55万吨,下降5.5%;禽肉产量0.85万吨,下降8.7%。禽蛋产量1.47万吨,增长18.2%。年末生猪存栏19.77万头,下降29.7%,其中,能繁母猪存栏2.35万头,下降10.0%。全年生猪出栏54.55万头,下降7.0%。</w:t>
      </w:r>
    </w:p>
    <w:p w14:paraId="66DD0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rPr>
          <w:rStyle w:val="6"/>
        </w:rPr>
        <w:t>二、工业保持平稳增长,主导产业增势良好</w:t>
      </w:r>
    </w:p>
    <w:p w14:paraId="326CED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全年全市规模以上工业增加值增长6.2%,比前三季度提高0.1个百分点。分经济类型看,国有控股企业增长6.4%;股份制企业增长6.0%,外商及港澳台商投资企业增长10.7%;私营企业增长4.6%。分行业看,36个大类行业中有21个行业增加值实现增长,增长面为58.0%。其中,化学原料和化学制品制造业增长9.7%,非金属矿物制品业增长12.9%。六大主导产业中有5个产值实现增长,分别是制冷增长22.8%,汽车增长12.7%,陶瓷及文化创意产业7.8%,直升机及通航增长3.6%,精细化工和医药增长1.3%。</w:t>
      </w:r>
    </w:p>
    <w:p w14:paraId="06F65E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rPr>
          <w:rStyle w:val="6"/>
        </w:rPr>
        <w:t>三、固定资产投资持续走强,工业投资快速增长</w:t>
      </w:r>
    </w:p>
    <w:p w14:paraId="6E69C2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全年全市固定资产投资同比增长4.2%,增速逐月回升。分领域看,基础设施投资增长16%,制造业投资增长10.6%,房地产开发投资下降28.7%。分产业看,第一产业投资下降19.7%,第二产业投资增长10.3%,第三产业投资增长0.7%。工业投资增长10.2%,高于全部投资6个百分点,其中工业技改投资增长11.6%,占工业投资比重为24.1%。民间投资增长10.2%;扣除房地产开发投资,民间投资增长14.8%。高技术产业投资增长41.7%,其中高技术制造业、高技术服务业投资分别增长44.2%、32.3%。全市亿元以上施工项目504个,完成投资增长2.3%,占全部投资的比重为86.1%,拉动全部投资增长2.0个百分点。</w:t>
      </w:r>
    </w:p>
    <w:p w14:paraId="2DDA05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全年全市商品房销售面积94万平方米,同比下降18.1%,其中住宅销售面积75.90万平方米,下降21.1%。商品房销售额57.77亿元,下降20.9%,其中住宅销售额49.80亿元,下降22.8%。</w:t>
      </w:r>
    </w:p>
    <w:p w14:paraId="4A87CC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rPr>
          <w:rStyle w:val="6"/>
        </w:rPr>
        <w:t>四、消费市场继续向好,网上零售较为活跃</w:t>
      </w:r>
    </w:p>
    <w:p w14:paraId="0372B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全年全市社会消费品零售总额632.87亿元,同比增长4.4%,比前三季度提高0.1个百分点。其中,限额以上单位消费品零售额187.47亿元,增长5.4%。按消费类型分,限额以上单位商品零售171.33亿元,增长4.5%;餐饮收入16.14亿元,增长16.7%。</w:t>
      </w:r>
    </w:p>
    <w:p w14:paraId="4A852FB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rPr>
          <w:rStyle w:val="6"/>
        </w:rPr>
        <w:t>五、财政运行总体平稳,税收收入保持增长</w:t>
      </w:r>
    </w:p>
    <w:p w14:paraId="69A31C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全年全市一般公共预算收入90.53亿元,同比增长0.3%。其中,税收收入53.51亿元,下降1.6%。在主体税种中,国内增值税19.93亿元,下降7.3%;企业所得税3.30亿元,下降4.3%;个人所得税1.35亿元,下降16.6%。全市一般公共预算支出250.00亿元,增长4.2%。其中,科学技术、文化旅游体育与传媒支出、社会保障和就业支出、卫生健康支出分别增长1.9%、20.2%、0.5%、58.6%。民生支出199.85亿元,占一般公共预算支出比重为79.9%。</w:t>
      </w:r>
    </w:p>
    <w:p w14:paraId="765570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rPr>
          <w:rStyle w:val="6"/>
        </w:rPr>
        <w:t>六、居民消费价格保持平稳,呈现“五涨三降”特点</w:t>
      </w:r>
    </w:p>
    <w:p w14:paraId="446D10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全年全市居民消费价格指数累计上涨0.1%。八大类商品价格“五涨三降”。其中,涨幅居首的为其他用品和服务类价格,同比上涨6.0%,拉动CPI上涨0.16个百分点,其次是教育文化和娱乐、衣着、生活用品及服务、医疗保健类,同比分别上涨3.1%、0.9%、0.4%、0.1%,五类合计拉动CPI上涨0.63个百分点;而交通和通信类降幅最大,同比下降2.2%,影响CPI下跌0.29个百分点,居住、食品烟酒类同比分别下降0.6%、0.5%,合计影响CPI下降0.27个百分点。</w:t>
      </w:r>
    </w:p>
    <w:p w14:paraId="00E230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总的来看,全市经济持续向好,政策效应不断显现,积极因素累积增多。同时也要看到,我市依然存在经济总量不大、财政收支矛盾依然突出、经济回升向好基础尚不牢固。下一步,坚持以习近平新时代中国特色社会主义思想为指导,全面落实习近平总书记考察江西重要讲话精神和对景德镇重要指示批示精神,按照省委十五届七次全会部署,以景德镇国家陶瓷文化传承创新试验区建设为统领,围绕“两地一中心”战略定位,坚持文化立市、工业强市、贸易兴市,持续推动经济实现质的有效提升和量的合理增长,奋力把“千年瓷都”这张靓丽的名片擦得更亮。</w:t>
      </w:r>
    </w:p>
    <w:p w14:paraId="2A6B34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left="0" w:right="0" w:firstLine="420"/>
        <w:jc w:val="left"/>
      </w:pPr>
      <w:r>
        <w:t>附注:根据我国国民经济核算制度和第五次全国经济普查结果,2023年景德镇地区生产总值修订为1140.69亿元,三次产业结构为6.7:41.3:52.0。2024年地区生产总值统一核算以2023年修订后的数据为基数。</w:t>
      </w:r>
    </w:p>
    <w:p w14:paraId="6E5CAD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p>
    <w:p w14:paraId="78D02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420" w:lineRule="atLeast"/>
        <w:ind w:right="0"/>
        <w:jc w:val="left"/>
      </w:pPr>
      <w:bookmarkStart w:id="0" w:name="_GoBack"/>
      <w:bookmarkEnd w:id="0"/>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C99A9DD2-D001-46C7-8E22-26EB06B3CDD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13F89"/>
    <w:rsid w:val="10513F89"/>
    <w:rsid w:val="17620576"/>
    <w:rsid w:val="3BB02112"/>
    <w:rsid w:val="4F001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1840</Words>
  <Characters>2376</Characters>
  <Lines>0</Lines>
  <Paragraphs>0</Paragraphs>
  <TotalTime>7</TotalTime>
  <ScaleCrop>false</ScaleCrop>
  <LinksUpToDate>false</LinksUpToDate>
  <CharactersWithSpaces>2377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2025-12-17T03:41:00Z</dcterms:created>
  <dc:creator>丹丹∧_∧</dc:creator>
  <cp:lastModifiedBy>鸫东耷</cp:lastModifiedBy>
  <dcterms:modified xsi:type="dcterms:W3CDTF">2025-12-18T07:50:08Z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72F630BBBF2748F79DAC114105777FC8_11</vt:lpwstr>
  </property>
  <property fmtid="{D5CDD505-2E9C-101B-9397-08002B2CF9AE}" pid="4" name="KSOTemplateDocerSaveRecord">
    <vt:lpwstr>eyJoZGlkIjoiNjk5ZjU1Y2U2ZDFiZWI2NjgzNjI5NTE1ZjE3ZDk3NjMiLCJ1c2VySWQiOiIyNDc0NzY1NDIifQ==</vt:lpwstr>
  </property>
</Properties>
</file>